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8895"/>
      </w:tblGrid>
      <w:tr w:rsidR="00192E3F" w14:paraId="25977122" w14:textId="77777777" w:rsidTr="00192E3F">
        <w:trPr>
          <w:trHeight w:val="283"/>
        </w:trPr>
        <w:tc>
          <w:tcPr>
            <w:tcW w:w="2021" w:type="dxa"/>
            <w:tcBorders>
              <w:top w:val="single" w:sz="4" w:space="0" w:color="auto"/>
              <w:left w:val="single" w:sz="4" w:space="0" w:color="auto"/>
              <w:bottom w:val="single" w:sz="4" w:space="0" w:color="auto"/>
              <w:right w:val="single" w:sz="4" w:space="0" w:color="auto"/>
            </w:tcBorders>
            <w:shd w:val="clear" w:color="auto" w:fill="1F3864" w:themeFill="accent1" w:themeFillShade="80"/>
            <w:hideMark/>
          </w:tcPr>
          <w:p w14:paraId="4B7896A1"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Nazwa komponentu</w:t>
            </w:r>
          </w:p>
        </w:tc>
        <w:tc>
          <w:tcPr>
            <w:tcW w:w="8895" w:type="dxa"/>
            <w:tcBorders>
              <w:top w:val="single" w:sz="4" w:space="0" w:color="auto"/>
              <w:left w:val="single" w:sz="4" w:space="0" w:color="auto"/>
              <w:bottom w:val="single" w:sz="4" w:space="0" w:color="auto"/>
              <w:right w:val="single" w:sz="4" w:space="0" w:color="auto"/>
            </w:tcBorders>
            <w:shd w:val="clear" w:color="auto" w:fill="1F3864" w:themeFill="accent1" w:themeFillShade="80"/>
            <w:hideMark/>
          </w:tcPr>
          <w:p w14:paraId="6C376E82"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Wymagane parametry techniczne komputerów</w:t>
            </w:r>
          </w:p>
        </w:tc>
      </w:tr>
      <w:tr w:rsidR="00192E3F" w:rsidRPr="00192E3F" w14:paraId="697F8BD3"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3DDBDB3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Typ</w:t>
            </w:r>
          </w:p>
        </w:tc>
        <w:tc>
          <w:tcPr>
            <w:tcW w:w="8895" w:type="dxa"/>
            <w:tcBorders>
              <w:top w:val="single" w:sz="4" w:space="0" w:color="auto"/>
              <w:left w:val="single" w:sz="4" w:space="0" w:color="auto"/>
              <w:bottom w:val="single" w:sz="4" w:space="0" w:color="auto"/>
              <w:right w:val="single" w:sz="4" w:space="0" w:color="auto"/>
            </w:tcBorders>
            <w:hideMark/>
          </w:tcPr>
          <w:p w14:paraId="36760A8D"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Komputer stacjonarny. W ofercie wymagane jest podanie modelu, symbolu oraz producenta.</w:t>
            </w:r>
          </w:p>
        </w:tc>
      </w:tr>
      <w:tr w:rsidR="00192E3F" w:rsidRPr="00192E3F" w14:paraId="55FFBE46"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5D241E3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Zastosowanie</w:t>
            </w:r>
          </w:p>
        </w:tc>
        <w:tc>
          <w:tcPr>
            <w:tcW w:w="8895" w:type="dxa"/>
            <w:tcBorders>
              <w:top w:val="single" w:sz="4" w:space="0" w:color="auto"/>
              <w:left w:val="single" w:sz="4" w:space="0" w:color="auto"/>
              <w:bottom w:val="single" w:sz="4" w:space="0" w:color="auto"/>
              <w:right w:val="single" w:sz="4" w:space="0" w:color="auto"/>
            </w:tcBorders>
            <w:hideMark/>
          </w:tcPr>
          <w:p w14:paraId="4DA88B95"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Komputer będzie wykorzystywany dla potrzeb aplikacji biurowych, aplikacji obliczeniowych, dostępu do Internetu oraz poczty elektronicznej, jako lokalna baza danych, stacja programistyczna.</w:t>
            </w:r>
          </w:p>
        </w:tc>
      </w:tr>
      <w:tr w:rsidR="00192E3F" w:rsidRPr="00192E3F" w14:paraId="6D91BB48"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4F3379E4"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Procesor</w:t>
            </w:r>
          </w:p>
        </w:tc>
        <w:tc>
          <w:tcPr>
            <w:tcW w:w="8895" w:type="dxa"/>
            <w:tcBorders>
              <w:top w:val="single" w:sz="4" w:space="0" w:color="auto"/>
              <w:left w:val="single" w:sz="4" w:space="0" w:color="auto"/>
              <w:bottom w:val="single" w:sz="4" w:space="0" w:color="auto"/>
              <w:right w:val="single" w:sz="4" w:space="0" w:color="auto"/>
            </w:tcBorders>
            <w:hideMark/>
          </w:tcPr>
          <w:p w14:paraId="04D80057"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Procesor dedykowany do pracy w komputerach stacjonarnych. Procesor umożliwiający osiągnięcie wyniku minimum 32 200  punktów w teście </w:t>
            </w:r>
            <w:proofErr w:type="spellStart"/>
            <w:r>
              <w:rPr>
                <w:rFonts w:asciiTheme="minorHAnsi" w:hAnsiTheme="minorHAnsi" w:cstheme="minorHAnsi"/>
                <w:bCs/>
                <w:sz w:val="20"/>
                <w:szCs w:val="20"/>
              </w:rPr>
              <w:t>PassMark</w:t>
            </w:r>
            <w:proofErr w:type="spellEnd"/>
            <w:r>
              <w:rPr>
                <w:rFonts w:asciiTheme="minorHAnsi" w:hAnsiTheme="minorHAnsi" w:cstheme="minorHAnsi"/>
                <w:bCs/>
                <w:sz w:val="20"/>
                <w:szCs w:val="20"/>
              </w:rPr>
              <w:t xml:space="preserve"> - CPU Mark dostępnym na stronie internetowej https://www.cpubenchmark.net/desktop.html na dzień 22.01.2024 (wyniki załączone do dokumentów zapytania).</w:t>
            </w:r>
          </w:p>
        </w:tc>
      </w:tr>
      <w:tr w:rsidR="00192E3F" w14:paraId="5AEB8FE2"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0ACAA368"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Pamięć RAM</w:t>
            </w:r>
          </w:p>
        </w:tc>
        <w:tc>
          <w:tcPr>
            <w:tcW w:w="8895" w:type="dxa"/>
            <w:tcBorders>
              <w:top w:val="single" w:sz="4" w:space="0" w:color="auto"/>
              <w:left w:val="single" w:sz="4" w:space="0" w:color="auto"/>
              <w:bottom w:val="single" w:sz="4" w:space="0" w:color="auto"/>
              <w:right w:val="single" w:sz="4" w:space="0" w:color="auto"/>
            </w:tcBorders>
            <w:hideMark/>
          </w:tcPr>
          <w:p w14:paraId="1AEB9623"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16 GB DDR4 3200MHz. Możliwość rozbudowy do min 64GB. Jeden slot DIMM wolny.</w:t>
            </w:r>
          </w:p>
        </w:tc>
      </w:tr>
      <w:tr w:rsidR="00192E3F" w:rsidRPr="00192E3F" w14:paraId="43E83A54"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19FBC2C5" w14:textId="77777777" w:rsidR="00192E3F" w:rsidRDefault="00192E3F">
            <w:pPr>
              <w:spacing w:after="0" w:line="240" w:lineRule="auto"/>
              <w:rPr>
                <w:rFonts w:asciiTheme="minorHAnsi" w:hAnsiTheme="minorHAnsi" w:cstheme="minorHAnsi"/>
                <w:bCs/>
                <w:sz w:val="20"/>
                <w:szCs w:val="20"/>
              </w:rPr>
            </w:pPr>
            <w:r>
              <w:rPr>
                <w:rFonts w:asciiTheme="minorHAnsi" w:hAnsiTheme="minorHAnsi" w:cstheme="minorHAnsi"/>
                <w:bCs/>
                <w:sz w:val="20"/>
                <w:szCs w:val="20"/>
              </w:rPr>
              <w:t>Pamięć masowa</w:t>
            </w:r>
          </w:p>
        </w:tc>
        <w:tc>
          <w:tcPr>
            <w:tcW w:w="8895" w:type="dxa"/>
            <w:tcBorders>
              <w:top w:val="single" w:sz="4" w:space="0" w:color="auto"/>
              <w:left w:val="single" w:sz="4" w:space="0" w:color="auto"/>
              <w:bottom w:val="single" w:sz="4" w:space="0" w:color="auto"/>
              <w:right w:val="single" w:sz="4" w:space="0" w:color="auto"/>
            </w:tcBorders>
            <w:hideMark/>
          </w:tcPr>
          <w:p w14:paraId="6A6BC818" w14:textId="77777777" w:rsidR="00192E3F" w:rsidRDefault="00192E3F">
            <w:pPr>
              <w:spacing w:after="0" w:line="240" w:lineRule="auto"/>
              <w:rPr>
                <w:rFonts w:asciiTheme="minorHAnsi" w:hAnsiTheme="minorHAnsi" w:cstheme="minorHAnsi"/>
                <w:bCs/>
                <w:sz w:val="20"/>
                <w:szCs w:val="20"/>
              </w:rPr>
            </w:pPr>
            <w:r>
              <w:rPr>
                <w:rFonts w:asciiTheme="minorHAnsi" w:hAnsiTheme="minorHAnsi" w:cstheme="minorHAnsi"/>
                <w:bCs/>
                <w:sz w:val="20"/>
                <w:szCs w:val="20"/>
              </w:rPr>
              <w:t xml:space="preserve">Dysk M.2 SSD 512 GB </w:t>
            </w:r>
            <w:proofErr w:type="spellStart"/>
            <w:r>
              <w:rPr>
                <w:rFonts w:asciiTheme="minorHAnsi" w:hAnsiTheme="minorHAnsi" w:cstheme="minorHAnsi"/>
                <w:bCs/>
                <w:sz w:val="20"/>
                <w:szCs w:val="20"/>
              </w:rPr>
              <w:t>PCIe</w:t>
            </w:r>
            <w:proofErr w:type="spellEnd"/>
            <w:r>
              <w:rPr>
                <w:rFonts w:asciiTheme="minorHAnsi" w:hAnsiTheme="minorHAnsi" w:cstheme="minorHAnsi"/>
                <w:bCs/>
                <w:sz w:val="20"/>
                <w:szCs w:val="20"/>
              </w:rPr>
              <w:t xml:space="preserve"> </w:t>
            </w:r>
            <w:proofErr w:type="spellStart"/>
            <w:r>
              <w:rPr>
                <w:rFonts w:asciiTheme="minorHAnsi" w:hAnsiTheme="minorHAnsi" w:cstheme="minorHAnsi"/>
                <w:bCs/>
                <w:sz w:val="20"/>
                <w:szCs w:val="20"/>
              </w:rPr>
              <w:t>NVMe</w:t>
            </w:r>
            <w:proofErr w:type="spellEnd"/>
            <w:r>
              <w:rPr>
                <w:rFonts w:asciiTheme="minorHAnsi" w:hAnsiTheme="minorHAnsi" w:cstheme="minorHAnsi"/>
                <w:bCs/>
                <w:sz w:val="20"/>
                <w:szCs w:val="20"/>
              </w:rPr>
              <w:br/>
              <w:t>Obudowa musi umożliwiać montaż dodatkowego dysku 2.5” lub 3.5”.</w:t>
            </w:r>
          </w:p>
        </w:tc>
      </w:tr>
      <w:tr w:rsidR="00192E3F" w14:paraId="0CB74E5F"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3F127AC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Wydajność grafiki</w:t>
            </w:r>
          </w:p>
        </w:tc>
        <w:tc>
          <w:tcPr>
            <w:tcW w:w="8895" w:type="dxa"/>
            <w:tcBorders>
              <w:top w:val="single" w:sz="4" w:space="0" w:color="auto"/>
              <w:left w:val="single" w:sz="4" w:space="0" w:color="auto"/>
              <w:bottom w:val="single" w:sz="4" w:space="0" w:color="auto"/>
              <w:right w:val="single" w:sz="4" w:space="0" w:color="auto"/>
            </w:tcBorders>
            <w:hideMark/>
          </w:tcPr>
          <w:p w14:paraId="42FD5BCB"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Zintegrowana karta graficzna </w:t>
            </w:r>
          </w:p>
        </w:tc>
      </w:tr>
      <w:tr w:rsidR="00192E3F" w:rsidRPr="00192E3F" w14:paraId="7DBB11D9"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6F463AE5"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Wyposażenie multimedialne</w:t>
            </w:r>
          </w:p>
        </w:tc>
        <w:tc>
          <w:tcPr>
            <w:tcW w:w="8895" w:type="dxa"/>
            <w:tcBorders>
              <w:top w:val="single" w:sz="4" w:space="0" w:color="auto"/>
              <w:left w:val="single" w:sz="4" w:space="0" w:color="auto"/>
              <w:bottom w:val="single" w:sz="4" w:space="0" w:color="auto"/>
              <w:right w:val="single" w:sz="4" w:space="0" w:color="auto"/>
            </w:tcBorders>
            <w:hideMark/>
          </w:tcPr>
          <w:p w14:paraId="744E5FB8"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Karta dźwiękowa min. dwukanałowa zintegrowana z płytą główną, zgodna z High Definition</w:t>
            </w:r>
            <w:r w:rsidRPr="00192E3F">
              <w:rPr>
                <w:rFonts w:asciiTheme="minorHAnsi" w:hAnsiTheme="minorHAnsi" w:cstheme="minorHAnsi"/>
                <w:bCs/>
                <w:sz w:val="20"/>
                <w:szCs w:val="20"/>
              </w:rPr>
              <w:t>. Wewnętrzny głośnik 2W zamontowany w obudowie komputera.</w:t>
            </w:r>
            <w:r>
              <w:rPr>
                <w:rFonts w:asciiTheme="minorHAnsi" w:hAnsiTheme="minorHAnsi" w:cstheme="minorHAnsi"/>
                <w:b/>
                <w:sz w:val="20"/>
                <w:szCs w:val="20"/>
              </w:rPr>
              <w:t xml:space="preserve"> </w:t>
            </w:r>
            <w:r>
              <w:rPr>
                <w:rFonts w:asciiTheme="minorHAnsi" w:hAnsiTheme="minorHAnsi" w:cstheme="minorHAnsi"/>
                <w:bCs/>
                <w:sz w:val="20"/>
                <w:szCs w:val="20"/>
              </w:rPr>
              <w:t xml:space="preserve"> Port słuchawek i mikrofonu na przednim panelu, dopuszcza się rozwiązanie port </w:t>
            </w:r>
            <w:proofErr w:type="spellStart"/>
            <w:r>
              <w:rPr>
                <w:rFonts w:asciiTheme="minorHAnsi" w:hAnsiTheme="minorHAnsi" w:cstheme="minorHAnsi"/>
                <w:bCs/>
                <w:sz w:val="20"/>
                <w:szCs w:val="20"/>
              </w:rPr>
              <w:t>combo</w:t>
            </w:r>
            <w:proofErr w:type="spellEnd"/>
            <w:r>
              <w:rPr>
                <w:rFonts w:asciiTheme="minorHAnsi" w:hAnsiTheme="minorHAnsi" w:cstheme="minorHAnsi"/>
                <w:bCs/>
                <w:sz w:val="20"/>
                <w:szCs w:val="20"/>
              </w:rPr>
              <w:t>.</w:t>
            </w:r>
          </w:p>
        </w:tc>
      </w:tr>
      <w:tr w:rsidR="00192E3F" w:rsidRPr="00192E3F" w14:paraId="3023DFC2" w14:textId="77777777" w:rsidTr="00192E3F">
        <w:trPr>
          <w:trHeight w:val="436"/>
        </w:trPr>
        <w:tc>
          <w:tcPr>
            <w:tcW w:w="2021" w:type="dxa"/>
            <w:tcBorders>
              <w:top w:val="single" w:sz="4" w:space="0" w:color="auto"/>
              <w:left w:val="single" w:sz="4" w:space="0" w:color="auto"/>
              <w:bottom w:val="single" w:sz="4" w:space="0" w:color="auto"/>
              <w:right w:val="single" w:sz="4" w:space="0" w:color="auto"/>
            </w:tcBorders>
            <w:hideMark/>
          </w:tcPr>
          <w:p w14:paraId="0CA8A35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Obudowa</w:t>
            </w:r>
          </w:p>
        </w:tc>
        <w:tc>
          <w:tcPr>
            <w:tcW w:w="8895" w:type="dxa"/>
            <w:tcBorders>
              <w:top w:val="single" w:sz="4" w:space="0" w:color="auto"/>
              <w:left w:val="single" w:sz="4" w:space="0" w:color="auto"/>
              <w:bottom w:val="single" w:sz="4" w:space="0" w:color="auto"/>
              <w:right w:val="single" w:sz="4" w:space="0" w:color="auto"/>
            </w:tcBorders>
          </w:tcPr>
          <w:p w14:paraId="3C8F6E5D"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Typu Mini Tower umożliwiająca montaż 1 x dysku 3.5” lub 1 x dysku 2.5” wewnątrz obudowy. Napęd optyczny DVD+/-RW zamontowany w dedykowanej wnęce. Obudowa fabrycznie przystosowana do pracy w orientacji pionowej. Otwory wentylacyjne usytuowane wyłącznie na przednim oraz tylnym panelu obudowy. Suma wymiarów obudowy nieprzekraczająca 771 mm.</w:t>
            </w:r>
          </w:p>
          <w:p w14:paraId="6589C83D" w14:textId="77777777" w:rsidR="00192E3F" w:rsidRDefault="00192E3F">
            <w:pPr>
              <w:spacing w:after="0" w:line="240" w:lineRule="auto"/>
              <w:jc w:val="both"/>
              <w:rPr>
                <w:rFonts w:asciiTheme="minorHAnsi" w:hAnsiTheme="minorHAnsi" w:cstheme="minorHAnsi"/>
                <w:bCs/>
                <w:sz w:val="20"/>
                <w:szCs w:val="20"/>
              </w:rPr>
            </w:pPr>
          </w:p>
          <w:p w14:paraId="71D3BFEC"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Zasilacz o mocy min. 180W pracujący w sieci 230V 50/60Hz prądu zmiennego i efektywności min. 85% przy obciążeniu zasilacza na poziomie 50% oraz o efektywności min. 82% przy obciążeniu zasilacza na poziomie 100%, </w:t>
            </w:r>
          </w:p>
          <w:p w14:paraId="6376B2EC"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Zasilacz w oferowanym komputerze musi się znajdować na stronie </w:t>
            </w:r>
            <w:hyperlink r:id="rId5" w:history="1">
              <w:r>
                <w:rPr>
                  <w:rStyle w:val="Hipercze"/>
                  <w:rFonts w:asciiTheme="minorHAnsi" w:hAnsiTheme="minorHAnsi" w:cstheme="minorHAnsi"/>
                  <w:bCs/>
                  <w:sz w:val="20"/>
                  <w:szCs w:val="20"/>
                </w:rPr>
                <w:t>http://www.plugloadsolutions.com/80pluspowersupplies.aspx</w:t>
              </w:r>
            </w:hyperlink>
            <w:r>
              <w:rPr>
                <w:rFonts w:asciiTheme="minorHAnsi" w:hAnsiTheme="minorHAnsi" w:cstheme="minorHAnsi"/>
                <w:bCs/>
                <w:sz w:val="20"/>
                <w:szCs w:val="20"/>
              </w:rPr>
              <w:t xml:space="preserve">, do oferty należy dołączyć wydruk potwierdzający spełnienie wymogu 80plus, w przypadku, kiedy u producenta występuje kilka zasilaczy które są montowane na etapie produkcji w fabryce załączyć wydruki dla wszystkich zasilaczy. Wydruki 80plus musza być potwierdzone przez producenta lub dołączone oświadczenie producenta komputera, iż wskazane zasilacze przez wykonawcę spełniają 80plus. </w:t>
            </w:r>
          </w:p>
          <w:p w14:paraId="5BBB010B"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Moduł konstrukcji obudowy w jednostce centralnej komputera powinien pozwalać na demontaż kart rozszerzeń  bez konieczności użycia narzędzi (wyklucza się użycia wkrętów, śrub motylkowych). Obudowa w jednostce centralnej musi być otwierana bez konieczności użycia narzędzi (wyklucza się użycie standardowych wkrętów, śrub motylkowych) oraz powinna posiadać czujnik otwarcia obudowy współpracujący z oprogramowaniem zarządzająco – diagnostycznym. Obudowa musi umożliwiać zastosowanie zabezpieczenia fizycznego w postaci linki metalowej oraz kłódki (oczko w obudowie do założenia kłódki). Wbudowany wizualny system diagnostyczny oparty o sygnalizację LED np. włącznik POWER, służący do sygnalizowania i diagnozowania problemów z komputerem i jego komponentami, sygnalizacja oparta na zmianie statusów diody LED (zmiana barw oraz miganie). System usytuowany na przednim panelu. System diagnostyczny musi sygnalizować: uszkodzenie lub brak pamięci RAM, uszkodzenie płyty głównej, awarię </w:t>
            </w:r>
            <w:proofErr w:type="spellStart"/>
            <w:r>
              <w:rPr>
                <w:rFonts w:asciiTheme="minorHAnsi" w:hAnsiTheme="minorHAnsi" w:cstheme="minorHAnsi"/>
                <w:bCs/>
                <w:sz w:val="20"/>
                <w:szCs w:val="20"/>
              </w:rPr>
              <w:t>BIOS’u</w:t>
            </w:r>
            <w:proofErr w:type="spellEnd"/>
            <w:r>
              <w:rPr>
                <w:rFonts w:asciiTheme="minorHAnsi" w:hAnsiTheme="minorHAnsi" w:cstheme="minorHAnsi"/>
                <w:bCs/>
                <w:sz w:val="20"/>
                <w:szCs w:val="20"/>
              </w:rPr>
              <w:t>, awarię procesora. 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Każdy komputer powinien być oznaczony niepowtarzalnym numerem seryjnym umieszonym na obudowie, oraz musi być wpisany na stałe w BIOS.</w:t>
            </w:r>
          </w:p>
        </w:tc>
      </w:tr>
      <w:tr w:rsidR="00192E3F" w:rsidRPr="00192E3F" w14:paraId="73B682CC"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6B4BEA5E"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Bezpieczeństwo</w:t>
            </w:r>
          </w:p>
        </w:tc>
        <w:tc>
          <w:tcPr>
            <w:tcW w:w="8895" w:type="dxa"/>
            <w:tcBorders>
              <w:top w:val="single" w:sz="4" w:space="0" w:color="auto"/>
              <w:left w:val="single" w:sz="4" w:space="0" w:color="auto"/>
              <w:bottom w:val="single" w:sz="4" w:space="0" w:color="auto"/>
              <w:right w:val="single" w:sz="4" w:space="0" w:color="auto"/>
            </w:tcBorders>
            <w:hideMark/>
          </w:tcPr>
          <w:p w14:paraId="5A6B10A2"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Ukryty w laminacie płyty głównej 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doprowadzi do uszkodzenia całej płyty głównej. System diagnostyczny z graficznym interfejsem użytkownika zaszyty w tej samej pamięci </w:t>
            </w:r>
            <w:proofErr w:type="spellStart"/>
            <w:r>
              <w:rPr>
                <w:rFonts w:asciiTheme="minorHAnsi" w:hAnsiTheme="minorHAnsi" w:cstheme="minorHAnsi"/>
                <w:bCs/>
                <w:sz w:val="20"/>
                <w:szCs w:val="20"/>
              </w:rPr>
              <w:t>flash</w:t>
            </w:r>
            <w:proofErr w:type="spellEnd"/>
            <w:r>
              <w:rPr>
                <w:rFonts w:asciiTheme="minorHAnsi" w:hAnsiTheme="minorHAnsi" w:cstheme="minorHAnsi"/>
                <w:bCs/>
                <w:sz w:val="20"/>
                <w:szCs w:val="20"/>
              </w:rPr>
              <w:t xml:space="preserve"> co BIOS, dostępny z poziomu szybkiego menu </w:t>
            </w:r>
            <w:proofErr w:type="spellStart"/>
            <w:r>
              <w:rPr>
                <w:rFonts w:asciiTheme="minorHAnsi" w:hAnsiTheme="minorHAnsi" w:cstheme="minorHAnsi"/>
                <w:bCs/>
                <w:sz w:val="20"/>
                <w:szCs w:val="20"/>
              </w:rPr>
              <w:t>boot</w:t>
            </w:r>
            <w:proofErr w:type="spellEnd"/>
            <w:r>
              <w:rPr>
                <w:rFonts w:asciiTheme="minorHAnsi" w:hAnsiTheme="minorHAnsi" w:cstheme="minorHAnsi"/>
                <w:bCs/>
                <w:sz w:val="20"/>
                <w:szCs w:val="20"/>
              </w:rPr>
              <w:t xml:space="preserve"> lub BIOS, umożliwiający przetestowanie komputera a w szczególności jego składowych. System zapewniający pełną funkcjonalność, a także zachowujący interfejs graficzny nawet w przypadku braku dysku </w:t>
            </w:r>
            <w:r>
              <w:rPr>
                <w:rFonts w:asciiTheme="minorHAnsi" w:hAnsiTheme="minorHAnsi" w:cstheme="minorHAnsi"/>
                <w:bCs/>
                <w:sz w:val="20"/>
                <w:szCs w:val="20"/>
              </w:rPr>
              <w:lastRenderedPageBreak/>
              <w:t xml:space="preserve">twardego oraz jego uszkodzenia, nie wymagający stosowania zewnętrznych nośników pamięci masowej oraz dostępu do </w:t>
            </w:r>
            <w:proofErr w:type="spellStart"/>
            <w:r>
              <w:rPr>
                <w:rFonts w:asciiTheme="minorHAnsi" w:hAnsiTheme="minorHAnsi" w:cstheme="minorHAnsi"/>
                <w:bCs/>
                <w:sz w:val="20"/>
                <w:szCs w:val="20"/>
              </w:rPr>
              <w:t>internetu</w:t>
            </w:r>
            <w:proofErr w:type="spellEnd"/>
            <w:r>
              <w:rPr>
                <w:rFonts w:asciiTheme="minorHAnsi" w:hAnsiTheme="minorHAnsi" w:cstheme="minorHAnsi"/>
                <w:bCs/>
                <w:sz w:val="20"/>
                <w:szCs w:val="20"/>
              </w:rPr>
              <w:t xml:space="preserve"> i sieci lokalnej.</w:t>
            </w:r>
          </w:p>
          <w:p w14:paraId="5869F3B0"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Procedura POST traktowana jest jako oddzielna funkcjonalność. </w:t>
            </w:r>
          </w:p>
        </w:tc>
      </w:tr>
      <w:tr w:rsidR="00192E3F" w:rsidRPr="00192E3F" w14:paraId="3E7E4717"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3BC4C079"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lastRenderedPageBreak/>
              <w:t>BIOS</w:t>
            </w:r>
          </w:p>
        </w:tc>
        <w:tc>
          <w:tcPr>
            <w:tcW w:w="8895" w:type="dxa"/>
            <w:tcBorders>
              <w:top w:val="single" w:sz="4" w:space="0" w:color="auto"/>
              <w:left w:val="single" w:sz="4" w:space="0" w:color="auto"/>
              <w:bottom w:val="single" w:sz="4" w:space="0" w:color="auto"/>
              <w:right w:val="single" w:sz="4" w:space="0" w:color="auto"/>
            </w:tcBorders>
            <w:hideMark/>
          </w:tcPr>
          <w:p w14:paraId="0618BF3F"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BIOS zgodny ze specyfikacją UEFI, wyprodukowany przez producenta komputera, zawierający logo producenta komputera lub nazwę producenta komputera lub nazwę modelu oferowanego komputera. Pełna obsługa BIOS za pomocą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prędkości zainstalowanych pamięci RAM, technologii wykonania pamięci, sposobie obsadzeniu slotów pamięci z rozbiciem na wielkości pamięci i banki, typie zainstalowanego procesora, ilości rdzeni zainstalowanego procesora, typowej prędkości zainstalowanego procesora, minimalnej i maksymalnej  osiąganej prędkości zainstalowanego procesora, pojemności zainstalowanego lub zainstalowanych dysków twardych, wszystkich urządzeniach podpiętych do dostępnych na płycie głównej portów SATA, MAC adresie zintegrowanej karty sieciowej, zintegrowanym układzie graficznym, kontrolerze audio.</w:t>
            </w:r>
          </w:p>
          <w:p w14:paraId="7E6D8CD4" w14:textId="77777777" w:rsidR="00192E3F" w:rsidRDefault="00192E3F">
            <w:pPr>
              <w:widowControl w:val="0"/>
              <w:autoSpaceDE w:val="0"/>
              <w:autoSpaceDN w:val="0"/>
              <w:adjustRightInd w:val="0"/>
              <w:spacing w:after="0" w:line="240" w:lineRule="auto"/>
              <w:ind w:right="50"/>
              <w:jc w:val="both"/>
              <w:rPr>
                <w:rFonts w:asciiTheme="minorHAnsi" w:hAnsiTheme="minorHAnsi" w:cstheme="minorHAnsi"/>
                <w:bCs/>
                <w:sz w:val="20"/>
                <w:szCs w:val="20"/>
              </w:rPr>
            </w:pPr>
            <w:r>
              <w:rPr>
                <w:rFonts w:asciiTheme="minorHAnsi" w:hAnsiTheme="minorHAnsi" w:cstheme="minorHAnsi"/>
                <w:bCs/>
                <w:sz w:val="20"/>
                <w:szCs w:val="20"/>
              </w:rPr>
              <w:t>Do odczytu wskazanych informacji nie mogą być stosowane rozwiązania oparte o pamięć masową (wewnętrzną lub zewnętrzną), zaimplementowane poza systemem BIOS narzędzia, np. system diagnostyczny, dodatkowe oprogramowanie.</w:t>
            </w:r>
          </w:p>
          <w:p w14:paraId="4BC0A304" w14:textId="77777777" w:rsidR="00192E3F" w:rsidRDefault="00192E3F">
            <w:pPr>
              <w:widowControl w:val="0"/>
              <w:autoSpaceDE w:val="0"/>
              <w:autoSpaceDN w:val="0"/>
              <w:adjustRightInd w:val="0"/>
              <w:spacing w:after="0" w:line="240" w:lineRule="auto"/>
              <w:ind w:right="50"/>
              <w:jc w:val="both"/>
              <w:rPr>
                <w:rFonts w:asciiTheme="minorHAnsi" w:hAnsiTheme="minorHAnsi" w:cstheme="minorHAnsi"/>
                <w:bCs/>
                <w:sz w:val="20"/>
                <w:szCs w:val="20"/>
              </w:rPr>
            </w:pPr>
            <w:r>
              <w:rPr>
                <w:rFonts w:asciiTheme="minorHAnsi" w:hAnsiTheme="minorHAnsi" w:cstheme="minorHAnsi"/>
                <w:bCs/>
                <w:sz w:val="20"/>
                <w:szCs w:val="20"/>
              </w:rPr>
              <w:t>Funkcja blokowania/odblokowania BOOT-</w:t>
            </w:r>
            <w:proofErr w:type="spellStart"/>
            <w:r>
              <w:rPr>
                <w:rFonts w:asciiTheme="minorHAnsi" w:hAnsiTheme="minorHAnsi" w:cstheme="minorHAnsi"/>
                <w:bCs/>
                <w:sz w:val="20"/>
                <w:szCs w:val="20"/>
              </w:rPr>
              <w:t>owania</w:t>
            </w:r>
            <w:proofErr w:type="spellEnd"/>
            <w:r>
              <w:rPr>
                <w:rFonts w:asciiTheme="minorHAnsi" w:hAnsiTheme="minorHAnsi" w:cstheme="minorHAnsi"/>
                <w:bCs/>
                <w:sz w:val="20"/>
                <w:szCs w:val="20"/>
              </w:rPr>
              <w:t xml:space="preserve"> stacji roboczej z zewnętrznych urządzeń, możliwość ustawienia hasła użytkownika umożliwiającego uruchomienie komputera (zabezpieczenie przed nieautoryzowanym uruchomieniem) przy jednoczesnym zdefiniowanym haśle administratora. Użytkownik po wpisaniu swojego hasła jest wstanie zidentyfikować ustawienia BIOS. Możliwość ustawienia haseł użytkownika i administratora składających się z cyfr, małych liter, dużych liter oraz znaków specjalnych. Możliwość włączenia/wyłączenia kontrolera SATA (w tym w szczególności pojedynczo), Możliwość ustawienia portów USB w trybie „no BOOT” (podczas startu komputer nie wykrywa urządzeń </w:t>
            </w:r>
            <w:proofErr w:type="spellStart"/>
            <w:r>
              <w:rPr>
                <w:rFonts w:asciiTheme="minorHAnsi" w:hAnsiTheme="minorHAnsi" w:cstheme="minorHAnsi"/>
                <w:bCs/>
                <w:sz w:val="20"/>
                <w:szCs w:val="20"/>
              </w:rPr>
              <w:t>bootujących</w:t>
            </w:r>
            <w:proofErr w:type="spellEnd"/>
            <w:r>
              <w:rPr>
                <w:rFonts w:asciiTheme="minorHAnsi" w:hAnsiTheme="minorHAnsi" w:cstheme="minorHAnsi"/>
                <w:bCs/>
                <w:sz w:val="20"/>
                <w:szCs w:val="20"/>
              </w:rPr>
              <w:t xml:space="preserve"> typu USB). Możliwość wyłączania portów USB pojedynczo. </w:t>
            </w:r>
          </w:p>
          <w:p w14:paraId="383AAFFD"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Oferowany BIOS musi posiadać poza swoją wewnętrzną strukturą menu szybkiego </w:t>
            </w:r>
            <w:proofErr w:type="spellStart"/>
            <w:r>
              <w:rPr>
                <w:rFonts w:asciiTheme="minorHAnsi" w:hAnsiTheme="minorHAnsi" w:cstheme="minorHAnsi"/>
                <w:bCs/>
                <w:sz w:val="20"/>
                <w:szCs w:val="20"/>
              </w:rPr>
              <w:t>boot’owania</w:t>
            </w:r>
            <w:proofErr w:type="spellEnd"/>
            <w:r>
              <w:rPr>
                <w:rFonts w:asciiTheme="minorHAnsi" w:hAnsiTheme="minorHAnsi" w:cstheme="minorHAnsi"/>
                <w:bCs/>
                <w:sz w:val="20"/>
                <w:szCs w:val="20"/>
              </w:rPr>
              <w:t xml:space="preserve"> które umożliwia m.in.: uruchamianie systemu zainstalowanego na dysku twardym, uruchamianie systemu z urządzeń zewnętrznych, uruchamianie systemu z serwera za pośrednictwem zintegrowanej karty sieciowej, uruchomienie graficznego systemu diagnostycznego, wejście do BIOS, </w:t>
            </w:r>
            <w:proofErr w:type="spellStart"/>
            <w:r>
              <w:rPr>
                <w:rFonts w:asciiTheme="minorHAnsi" w:hAnsiTheme="minorHAnsi" w:cstheme="minorHAnsi"/>
                <w:bCs/>
                <w:sz w:val="20"/>
                <w:szCs w:val="20"/>
              </w:rPr>
              <w:t>upgrade</w:t>
            </w:r>
            <w:proofErr w:type="spellEnd"/>
            <w:r>
              <w:rPr>
                <w:rFonts w:asciiTheme="minorHAnsi" w:hAnsiTheme="minorHAnsi" w:cstheme="minorHAnsi"/>
                <w:bCs/>
                <w:sz w:val="20"/>
                <w:szCs w:val="20"/>
              </w:rPr>
              <w:t xml:space="preserve"> BIOS.</w:t>
            </w:r>
          </w:p>
        </w:tc>
      </w:tr>
      <w:tr w:rsidR="00192E3F" w:rsidRPr="00192E3F" w14:paraId="115D72FA"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0D7A1074"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Wirtualizacja</w:t>
            </w:r>
          </w:p>
        </w:tc>
        <w:tc>
          <w:tcPr>
            <w:tcW w:w="8895" w:type="dxa"/>
            <w:tcBorders>
              <w:top w:val="single" w:sz="4" w:space="0" w:color="auto"/>
              <w:left w:val="single" w:sz="4" w:space="0" w:color="auto"/>
              <w:bottom w:val="single" w:sz="4" w:space="0" w:color="auto"/>
              <w:right w:val="single" w:sz="4" w:space="0" w:color="auto"/>
            </w:tcBorders>
            <w:hideMark/>
          </w:tcPr>
          <w:p w14:paraId="1ED5F67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Sprzętowe wsparcie </w:t>
            </w:r>
            <w:proofErr w:type="spellStart"/>
            <w:r>
              <w:rPr>
                <w:rFonts w:asciiTheme="minorHAnsi" w:hAnsiTheme="minorHAnsi" w:cstheme="minorHAnsi"/>
                <w:bCs/>
                <w:sz w:val="20"/>
                <w:szCs w:val="20"/>
              </w:rPr>
              <w:t>technologi</w:t>
            </w:r>
            <w:proofErr w:type="spellEnd"/>
            <w:r>
              <w:rPr>
                <w:rFonts w:asciiTheme="minorHAnsi" w:hAnsiTheme="minorHAnsi" w:cstheme="minorHAnsi"/>
                <w:bCs/>
                <w:sz w:val="20"/>
                <w:szCs w:val="20"/>
              </w:rPr>
              <w:t xml:space="preserve"> wirtualizacji realizowane łącznie w procesorze, chipsecie płyty </w:t>
            </w:r>
            <w:proofErr w:type="spellStart"/>
            <w:r>
              <w:rPr>
                <w:rFonts w:asciiTheme="minorHAnsi" w:hAnsiTheme="minorHAnsi" w:cstheme="minorHAnsi"/>
                <w:bCs/>
                <w:sz w:val="20"/>
                <w:szCs w:val="20"/>
              </w:rPr>
              <w:t>główej</w:t>
            </w:r>
            <w:proofErr w:type="spellEnd"/>
            <w:r>
              <w:rPr>
                <w:rFonts w:asciiTheme="minorHAnsi" w:hAnsiTheme="minorHAnsi" w:cstheme="minorHAnsi"/>
                <w:bCs/>
                <w:sz w:val="20"/>
                <w:szCs w:val="20"/>
              </w:rPr>
              <w:t xml:space="preserve"> oraz w  BIOS systemu (możliwość włączenia/wyłączenia sprzętowego wsparcia wirtualizacji dla poszczególnych komponentów systemu).</w:t>
            </w:r>
          </w:p>
        </w:tc>
      </w:tr>
      <w:tr w:rsidR="00192E3F" w:rsidRPr="00192E3F" w14:paraId="0274A0B8"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49108D54"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System operacyjny</w:t>
            </w:r>
          </w:p>
        </w:tc>
        <w:tc>
          <w:tcPr>
            <w:tcW w:w="8895" w:type="dxa"/>
            <w:tcBorders>
              <w:top w:val="single" w:sz="4" w:space="0" w:color="auto"/>
              <w:left w:val="single" w:sz="4" w:space="0" w:color="auto"/>
              <w:bottom w:val="single" w:sz="4" w:space="0" w:color="auto"/>
              <w:right w:val="single" w:sz="4" w:space="0" w:color="auto"/>
            </w:tcBorders>
            <w:hideMark/>
          </w:tcPr>
          <w:p w14:paraId="1B0AA550"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bdr w:val="none" w:sz="0" w:space="0" w:color="auto" w:frame="1"/>
              </w:rPr>
              <w:t xml:space="preserve">Zainstalowany system operacyjny Windows 11 Professional, musi być zapisany trwale w BIOS i umożliwiać </w:t>
            </w:r>
            <w:proofErr w:type="spellStart"/>
            <w:r>
              <w:rPr>
                <w:rFonts w:asciiTheme="minorHAnsi" w:hAnsiTheme="minorHAnsi" w:cstheme="minorHAnsi"/>
                <w:bCs/>
                <w:sz w:val="20"/>
                <w:szCs w:val="20"/>
                <w:bdr w:val="none" w:sz="0" w:space="0" w:color="auto" w:frame="1"/>
              </w:rPr>
              <w:t>reinstalację</w:t>
            </w:r>
            <w:proofErr w:type="spellEnd"/>
            <w:r>
              <w:rPr>
                <w:rFonts w:asciiTheme="minorHAnsi" w:hAnsiTheme="minorHAnsi" w:cstheme="minorHAnsi"/>
                <w:bCs/>
                <w:sz w:val="20"/>
                <w:szCs w:val="20"/>
                <w:bdr w:val="none" w:sz="0" w:space="0" w:color="auto" w:frame="1"/>
              </w:rPr>
              <w:t xml:space="preserve"> systemu operacyjnego bez potrzeby ręcznego wpisywania klucza licencyjnego.</w:t>
            </w:r>
          </w:p>
        </w:tc>
      </w:tr>
      <w:tr w:rsidR="00192E3F" w:rsidRPr="00192E3F" w14:paraId="3BCBBB25"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4F465E3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Certyfikaty i standardy</w:t>
            </w:r>
          </w:p>
        </w:tc>
        <w:tc>
          <w:tcPr>
            <w:tcW w:w="8895" w:type="dxa"/>
            <w:tcBorders>
              <w:top w:val="single" w:sz="4" w:space="0" w:color="auto"/>
              <w:left w:val="single" w:sz="4" w:space="0" w:color="auto"/>
              <w:bottom w:val="single" w:sz="4" w:space="0" w:color="auto"/>
              <w:right w:val="single" w:sz="4" w:space="0" w:color="auto"/>
            </w:tcBorders>
            <w:hideMark/>
          </w:tcPr>
          <w:p w14:paraId="5999B76E"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Certyfikat ISO9001 dla producenta sprzętu (załączyć dokument potwierdzający spełnianie wymogu)</w:t>
            </w:r>
          </w:p>
          <w:p w14:paraId="791ED811"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Deklaracja zgodności CE (załączyć do oferty)</w:t>
            </w:r>
          </w:p>
          <w:p w14:paraId="2F53ED9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Urządzenia wyprodukowane są przez producenta, zgodnie z normą PN-EN  ISO 50001 (załączyć do oferty)</w:t>
            </w:r>
          </w:p>
          <w:p w14:paraId="41CEF64D"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Potwierdzenie spełnienia kryteriów środowiskowych, w tym zgodności z dyrektywą </w:t>
            </w:r>
            <w:proofErr w:type="spellStart"/>
            <w:r>
              <w:rPr>
                <w:rFonts w:asciiTheme="minorHAnsi" w:hAnsiTheme="minorHAnsi" w:cstheme="minorHAnsi"/>
                <w:bCs/>
                <w:sz w:val="20"/>
                <w:szCs w:val="20"/>
              </w:rPr>
              <w:t>RoHS</w:t>
            </w:r>
            <w:proofErr w:type="spellEnd"/>
            <w:r>
              <w:rPr>
                <w:rFonts w:asciiTheme="minorHAnsi" w:hAnsiTheme="minorHAnsi" w:cstheme="minorHAnsi"/>
                <w:bCs/>
                <w:sz w:val="20"/>
                <w:szCs w:val="20"/>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w:t>
            </w:r>
          </w:p>
        </w:tc>
      </w:tr>
      <w:tr w:rsidR="00192E3F" w:rsidRPr="00192E3F" w14:paraId="643560ED"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11D745BF"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Wymagania dodatkowe</w:t>
            </w:r>
          </w:p>
        </w:tc>
        <w:tc>
          <w:tcPr>
            <w:tcW w:w="8895" w:type="dxa"/>
            <w:tcBorders>
              <w:top w:val="single" w:sz="4" w:space="0" w:color="auto"/>
              <w:left w:val="single" w:sz="4" w:space="0" w:color="auto"/>
              <w:bottom w:val="single" w:sz="4" w:space="0" w:color="auto"/>
              <w:right w:val="single" w:sz="4" w:space="0" w:color="auto"/>
            </w:tcBorders>
            <w:hideMark/>
          </w:tcPr>
          <w:p w14:paraId="0A9B78EC"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Wymagane porty; porty video wlutowane i wyprowadzone bezpośrednio z płyty głównej:  1 x HDMI 1.4, 1 x </w:t>
            </w:r>
            <w:proofErr w:type="spellStart"/>
            <w:r>
              <w:rPr>
                <w:rFonts w:asciiTheme="minorHAnsi" w:hAnsiTheme="minorHAnsi" w:cstheme="minorHAnsi"/>
                <w:bCs/>
                <w:sz w:val="20"/>
                <w:szCs w:val="20"/>
              </w:rPr>
              <w:t>DisplayPort</w:t>
            </w:r>
            <w:proofErr w:type="spellEnd"/>
            <w:r>
              <w:rPr>
                <w:rFonts w:asciiTheme="minorHAnsi" w:hAnsiTheme="minorHAnsi" w:cstheme="minorHAnsi"/>
                <w:bCs/>
                <w:sz w:val="20"/>
                <w:szCs w:val="20"/>
              </w:rPr>
              <w:t xml:space="preserve"> 1.4a,  8 portów USB wyprowadzonych na zewnątrz obudowy, na panelu przednim 2 x USB 3.2 gen 1 Typu A oraz 2 x USB 2.0, na panelu tylnym  2 x USB 3.2 gen 1 Typu A oraz 2 x USB 2.0, </w:t>
            </w:r>
          </w:p>
          <w:p w14:paraId="097AA29F"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Wymagana ilość i rozmieszczenie (na zewnątrz obudowy komputera) wszystkich portów USB nie może być osiągnięta w wyniku stosowania konwerterów, przejściówek lub przewodów połączeniowych itp. </w:t>
            </w:r>
            <w:r>
              <w:rPr>
                <w:rFonts w:asciiTheme="minorHAnsi" w:hAnsiTheme="minorHAnsi" w:cstheme="minorHAnsi"/>
                <w:bCs/>
                <w:sz w:val="20"/>
                <w:szCs w:val="20"/>
              </w:rPr>
              <w:lastRenderedPageBreak/>
              <w:t>Zainstalowane porty wlutowane w płytę główną i bezpośrednio wyprowadzone na panel przedni i tylny obudowy, dodatkowo nie mogą blokować instalacji kart rozszerzeń w złączach wymaganych w opisie płyty głównej.</w:t>
            </w:r>
          </w:p>
          <w:p w14:paraId="40BD59AC"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Płyta główna zaprojektowana i wyprodukowana na zlecenie producenta komputera, trwale oznaczona na etapie produkcji logiem producenta oferowanej jednostki, dedykowana dla danego urządzenia, wyposażona w: 1 x </w:t>
            </w:r>
            <w:proofErr w:type="spellStart"/>
            <w:r>
              <w:rPr>
                <w:rFonts w:asciiTheme="minorHAnsi" w:hAnsiTheme="minorHAnsi" w:cstheme="minorHAnsi"/>
                <w:bCs/>
                <w:sz w:val="20"/>
                <w:szCs w:val="20"/>
              </w:rPr>
              <w:t>PCIe</w:t>
            </w:r>
            <w:proofErr w:type="spellEnd"/>
            <w:r>
              <w:rPr>
                <w:rFonts w:asciiTheme="minorHAnsi" w:hAnsiTheme="minorHAnsi" w:cstheme="minorHAnsi"/>
                <w:bCs/>
                <w:sz w:val="20"/>
                <w:szCs w:val="20"/>
              </w:rPr>
              <w:t xml:space="preserve"> x16 Gen.3, 2 x </w:t>
            </w:r>
            <w:proofErr w:type="spellStart"/>
            <w:r>
              <w:rPr>
                <w:rFonts w:asciiTheme="minorHAnsi" w:hAnsiTheme="minorHAnsi" w:cstheme="minorHAnsi"/>
                <w:bCs/>
                <w:sz w:val="20"/>
                <w:szCs w:val="20"/>
              </w:rPr>
              <w:t>PCIe</w:t>
            </w:r>
            <w:proofErr w:type="spellEnd"/>
            <w:r>
              <w:rPr>
                <w:rFonts w:asciiTheme="minorHAnsi" w:hAnsiTheme="minorHAnsi" w:cstheme="minorHAnsi"/>
                <w:bCs/>
                <w:sz w:val="20"/>
                <w:szCs w:val="20"/>
              </w:rPr>
              <w:t xml:space="preserve"> x1, 2 x DIMM z obsługą do 64 GB DDR4 RAM, 2 x SATA w tym min. 1 </w:t>
            </w:r>
            <w:proofErr w:type="spellStart"/>
            <w:r>
              <w:rPr>
                <w:rFonts w:asciiTheme="minorHAnsi" w:hAnsiTheme="minorHAnsi" w:cstheme="minorHAnsi"/>
                <w:bCs/>
                <w:sz w:val="20"/>
                <w:szCs w:val="20"/>
              </w:rPr>
              <w:t>szt</w:t>
            </w:r>
            <w:proofErr w:type="spellEnd"/>
            <w:r>
              <w:rPr>
                <w:rFonts w:asciiTheme="minorHAnsi" w:hAnsiTheme="minorHAnsi" w:cstheme="minorHAnsi"/>
                <w:bCs/>
                <w:sz w:val="20"/>
                <w:szCs w:val="20"/>
              </w:rPr>
              <w:t xml:space="preserve"> SATA 3.0., Jedno złącze M.2 dla dysków oraz złącze M.2 bezprzewodowej karty sieciowej.</w:t>
            </w:r>
          </w:p>
          <w:p w14:paraId="3B25DFE5"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Klawiatura USB w układzie polski programisty </w:t>
            </w:r>
          </w:p>
          <w:p w14:paraId="370B27D0"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Mysz przewodowa USB </w:t>
            </w:r>
          </w:p>
          <w:p w14:paraId="42032550"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Nagrywarka DVD +/-RW o prędkości min. 8x </w:t>
            </w:r>
          </w:p>
          <w:p w14:paraId="0DBB443C"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Opakowanie musi być wykonane z materiałów podlegających powtórnemu przetworzeniu.</w:t>
            </w:r>
          </w:p>
        </w:tc>
      </w:tr>
      <w:tr w:rsidR="00192E3F" w:rsidRPr="00192E3F" w14:paraId="03BEBA49"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6ED4479A"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lastRenderedPageBreak/>
              <w:t>Ergonomia</w:t>
            </w:r>
          </w:p>
        </w:tc>
        <w:tc>
          <w:tcPr>
            <w:tcW w:w="8895" w:type="dxa"/>
            <w:tcBorders>
              <w:top w:val="single" w:sz="4" w:space="0" w:color="auto"/>
              <w:left w:val="single" w:sz="4" w:space="0" w:color="auto"/>
              <w:bottom w:val="single" w:sz="4" w:space="0" w:color="auto"/>
              <w:right w:val="single" w:sz="4" w:space="0" w:color="auto"/>
            </w:tcBorders>
            <w:hideMark/>
          </w:tcPr>
          <w:p w14:paraId="60CBC12D"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Głośność jednostki centralnej mierzona zgodnie z normą ISO 7779 oraz wykazana zgodnie z normą ISO 9296 w pozycji obserwatora w trybie pracy dysku twardego (IDLE) wynosząca maksymalnie 26 </w:t>
            </w:r>
            <w:proofErr w:type="spellStart"/>
            <w:r>
              <w:rPr>
                <w:rFonts w:asciiTheme="minorHAnsi" w:hAnsiTheme="minorHAnsi" w:cstheme="minorHAnsi"/>
                <w:bCs/>
                <w:sz w:val="20"/>
                <w:szCs w:val="20"/>
              </w:rPr>
              <w:t>dB</w:t>
            </w:r>
            <w:proofErr w:type="spellEnd"/>
            <w:r>
              <w:rPr>
                <w:rFonts w:asciiTheme="minorHAnsi" w:hAnsiTheme="minorHAnsi" w:cstheme="minorHAnsi"/>
                <w:bCs/>
                <w:sz w:val="20"/>
                <w:szCs w:val="20"/>
              </w:rPr>
              <w:t xml:space="preserve"> (załączyć oświadczenie producenta).</w:t>
            </w:r>
          </w:p>
        </w:tc>
      </w:tr>
      <w:tr w:rsidR="00192E3F" w:rsidRPr="00192E3F" w14:paraId="5D499353"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46FD3B51"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Wsparcie techniczne producenta</w:t>
            </w:r>
          </w:p>
        </w:tc>
        <w:tc>
          <w:tcPr>
            <w:tcW w:w="8895" w:type="dxa"/>
            <w:tcBorders>
              <w:top w:val="single" w:sz="4" w:space="0" w:color="auto"/>
              <w:left w:val="single" w:sz="4" w:space="0" w:color="auto"/>
              <w:bottom w:val="single" w:sz="4" w:space="0" w:color="auto"/>
              <w:right w:val="single" w:sz="4" w:space="0" w:color="auto"/>
            </w:tcBorders>
            <w:hideMark/>
          </w:tcPr>
          <w:p w14:paraId="7BD96020"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w:t>
            </w:r>
            <w:proofErr w:type="spellStart"/>
            <w:r>
              <w:rPr>
                <w:rFonts w:asciiTheme="minorHAnsi" w:hAnsiTheme="minorHAnsi" w:cstheme="minorHAnsi"/>
                <w:bCs/>
                <w:sz w:val="20"/>
                <w:szCs w:val="20"/>
              </w:rPr>
              <w:t>recovery</w:t>
            </w:r>
            <w:proofErr w:type="spellEnd"/>
            <w:r>
              <w:rPr>
                <w:rFonts w:asciiTheme="minorHAnsi" w:hAnsiTheme="minorHAnsi" w:cstheme="minorHAnsi"/>
                <w:bCs/>
                <w:sz w:val="20"/>
                <w:szCs w:val="20"/>
              </w:rPr>
              <w:t xml:space="preserve"> systemu operacyjnego).</w:t>
            </w:r>
          </w:p>
        </w:tc>
      </w:tr>
      <w:tr w:rsidR="00192E3F" w:rsidRPr="00192E3F" w14:paraId="4B1E18F8" w14:textId="77777777" w:rsidTr="00192E3F">
        <w:tc>
          <w:tcPr>
            <w:tcW w:w="2021" w:type="dxa"/>
            <w:tcBorders>
              <w:top w:val="single" w:sz="4" w:space="0" w:color="auto"/>
              <w:left w:val="single" w:sz="4" w:space="0" w:color="auto"/>
              <w:bottom w:val="single" w:sz="4" w:space="0" w:color="auto"/>
              <w:right w:val="single" w:sz="4" w:space="0" w:color="auto"/>
            </w:tcBorders>
            <w:hideMark/>
          </w:tcPr>
          <w:p w14:paraId="6AA5BFFA"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Warunki gwarancji</w:t>
            </w:r>
          </w:p>
        </w:tc>
        <w:tc>
          <w:tcPr>
            <w:tcW w:w="8895" w:type="dxa"/>
            <w:tcBorders>
              <w:top w:val="single" w:sz="4" w:space="0" w:color="auto"/>
              <w:left w:val="single" w:sz="4" w:space="0" w:color="auto"/>
              <w:bottom w:val="single" w:sz="4" w:space="0" w:color="auto"/>
              <w:right w:val="single" w:sz="4" w:space="0" w:color="auto"/>
            </w:tcBorders>
          </w:tcPr>
          <w:p w14:paraId="73C2B814"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Firma serwisująca musi posiadać ISO 9001:2008 na świadczenie usług serwisowych oraz posiadać autoryzacje producenta urządzeń – dokumenty potwierdzające należy załączyć do oferty.</w:t>
            </w:r>
          </w:p>
          <w:p w14:paraId="101CC470"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Wymagane dołączenie do oferty oświadczenia Producenta potwierdzając, że Serwis urządzeń będzie realizowany bezpośrednio przez Producenta i/lub we współpracy z Autoryzowanym Partnerem Serwisowym Producenta.</w:t>
            </w:r>
          </w:p>
          <w:p w14:paraId="3AA8C931"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Czas trwania wsparcia technicznego producenta wynosi 5 lat.</w:t>
            </w:r>
          </w:p>
          <w:p w14:paraId="783B21BB"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Sposób realizacji usług wsparcia technicznego:</w:t>
            </w:r>
          </w:p>
          <w:p w14:paraId="0F8A0756" w14:textId="77777777" w:rsidR="00192E3F" w:rsidRDefault="00192E3F" w:rsidP="00192E3F">
            <w:pPr>
              <w:pStyle w:val="Akapitzlist"/>
              <w:numPr>
                <w:ilvl w:val="0"/>
                <w:numId w:val="2"/>
              </w:numPr>
              <w:spacing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Telefoniczne zgłaszanie usterek w dni robocze w godzinach 8-17. </w:t>
            </w:r>
          </w:p>
          <w:p w14:paraId="3D482038" w14:textId="77777777" w:rsidR="00192E3F" w:rsidRDefault="00192E3F" w:rsidP="00192E3F">
            <w:pPr>
              <w:pStyle w:val="Akapitzlist"/>
              <w:numPr>
                <w:ilvl w:val="0"/>
                <w:numId w:val="2"/>
              </w:numPr>
              <w:spacing w:line="240" w:lineRule="auto"/>
              <w:jc w:val="both"/>
              <w:rPr>
                <w:rFonts w:asciiTheme="minorHAnsi" w:hAnsiTheme="minorHAnsi" w:cstheme="minorHAnsi"/>
                <w:bCs/>
                <w:sz w:val="20"/>
                <w:szCs w:val="20"/>
              </w:rPr>
            </w:pPr>
            <w:r>
              <w:rPr>
                <w:rFonts w:asciiTheme="minorHAnsi" w:hAnsiTheme="minorHAnsi" w:cstheme="minorHAnsi"/>
                <w:bCs/>
                <w:sz w:val="20"/>
                <w:szCs w:val="20"/>
              </w:rPr>
              <w:t>Dedykowany bezpłatny portal online producenta do zgłaszania usterek i zarządzania zgłoszeniami serwisowymi.</w:t>
            </w:r>
          </w:p>
          <w:p w14:paraId="1308E41B" w14:textId="77777777" w:rsidR="00192E3F" w:rsidRDefault="00192E3F" w:rsidP="00192E3F">
            <w:pPr>
              <w:pStyle w:val="Akapitzlist"/>
              <w:numPr>
                <w:ilvl w:val="0"/>
                <w:numId w:val="2"/>
              </w:numPr>
              <w:spacing w:line="240" w:lineRule="auto"/>
              <w:jc w:val="both"/>
              <w:rPr>
                <w:rFonts w:asciiTheme="minorHAnsi" w:hAnsiTheme="minorHAnsi" w:cstheme="minorHAnsi"/>
                <w:bCs/>
                <w:sz w:val="20"/>
                <w:szCs w:val="20"/>
              </w:rPr>
            </w:pPr>
            <w:r>
              <w:rPr>
                <w:rFonts w:asciiTheme="minorHAnsi" w:hAnsiTheme="minorHAnsi" w:cstheme="minorHAnsi"/>
                <w:bCs/>
                <w:sz w:val="20"/>
                <w:szCs w:val="20"/>
              </w:rPr>
              <w:t>Opcjonalna pomoc techniczna za pośrednictwem czat online.</w:t>
            </w:r>
          </w:p>
          <w:p w14:paraId="57239887"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Wsparcie techniczne dla sprzętu będzie dostarczane zdalnie lub w miejscu instalacji urządzenia, w zależności od rodzaju zgłaszanej awarii. </w:t>
            </w:r>
          </w:p>
          <w:p w14:paraId="0B9F6024"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W przypadku awarii zakwalifikowanej jako naprawa w miejscu instalacji urządzenia, część zamienna wymagana do naprawy i/lub technik serwisowy przybędzie na miejsce wskazane przez klienta na następny dzień roboczy od momentu skutecznego przyjęcia zgłoszenia przez Dział Wsparcia Technicznego.</w:t>
            </w:r>
          </w:p>
          <w:p w14:paraId="7C380A89"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Możliwość sprawdzenia aktualnego okresu i poziomu wsparcia technicznego dla urządzeń za pośrednictwem strony internetowej producenta.</w:t>
            </w:r>
          </w:p>
          <w:p w14:paraId="0CF91239" w14:textId="77777777" w:rsidR="00192E3F" w:rsidRDefault="00192E3F">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Możliwość pobrania aktualnych wersji sterowników oraz </w:t>
            </w:r>
            <w:proofErr w:type="spellStart"/>
            <w:r>
              <w:rPr>
                <w:rFonts w:asciiTheme="minorHAnsi" w:hAnsiTheme="minorHAnsi" w:cstheme="minorHAnsi"/>
                <w:bCs/>
                <w:sz w:val="20"/>
                <w:szCs w:val="20"/>
              </w:rPr>
              <w:t>firmware</w:t>
            </w:r>
            <w:proofErr w:type="spellEnd"/>
            <w:r>
              <w:rPr>
                <w:rFonts w:asciiTheme="minorHAnsi" w:hAnsiTheme="minorHAnsi" w:cstheme="minorHAnsi"/>
                <w:bCs/>
                <w:sz w:val="20"/>
                <w:szCs w:val="20"/>
              </w:rPr>
              <w:t xml:space="preserve"> urządzenia za pośrednictwem strony internetowej producenta również dla urządzeń z nieaktywnym wsparciem technicznym. </w:t>
            </w:r>
          </w:p>
          <w:p w14:paraId="4A3CD046" w14:textId="77777777" w:rsidR="00192E3F" w:rsidRDefault="00192E3F">
            <w:pPr>
              <w:spacing w:after="0" w:line="240" w:lineRule="auto"/>
              <w:jc w:val="both"/>
              <w:rPr>
                <w:rFonts w:asciiTheme="minorHAnsi" w:hAnsiTheme="minorHAnsi" w:cstheme="minorHAnsi"/>
                <w:bCs/>
                <w:sz w:val="20"/>
                <w:szCs w:val="20"/>
              </w:rPr>
            </w:pPr>
          </w:p>
          <w:p w14:paraId="1A0EF6C8" w14:textId="77777777" w:rsidR="00192E3F" w:rsidRDefault="00192E3F">
            <w:pPr>
              <w:spacing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tc>
      </w:tr>
    </w:tbl>
    <w:p w14:paraId="5CB0B26A" w14:textId="77777777" w:rsidR="00192E3F" w:rsidRDefault="00192E3F" w:rsidP="00192E3F">
      <w:pPr>
        <w:spacing w:line="240" w:lineRule="auto"/>
        <w:jc w:val="both"/>
        <w:rPr>
          <w:rFonts w:asciiTheme="minorHAnsi" w:hAnsiTheme="minorHAnsi" w:cstheme="minorHAnsi"/>
          <w:bCs/>
          <w:sz w:val="20"/>
          <w:szCs w:val="20"/>
        </w:rPr>
      </w:pPr>
    </w:p>
    <w:p w14:paraId="3CCBA575" w14:textId="77777777" w:rsidR="00D71C76" w:rsidRDefault="00D71C76"/>
    <w:sectPr w:rsidR="00D71C76">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65984008">
    <w:abstractNumId w:val="0"/>
  </w:num>
  <w:num w:numId="2" w16cid:durableId="206775140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8A6"/>
    <w:rsid w:val="00192E3F"/>
    <w:rsid w:val="009628A6"/>
    <w:rsid w:val="00A26C2E"/>
    <w:rsid w:val="00CF2F96"/>
    <w:rsid w:val="00D71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9193F"/>
  <w15:chartTrackingRefBased/>
  <w15:docId w15:val="{2CC37B32-02B7-46FE-B2D8-0521501E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6C2E"/>
    <w:pPr>
      <w:spacing w:line="256" w:lineRule="auto"/>
    </w:pPr>
    <w:rPr>
      <w:rFonts w:ascii="Calibri" w:eastAsia="Calibri" w:hAnsi="Calibri" w:cs="Times New Roman"/>
      <w:kern w:val="0"/>
      <w:lang w:val="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semiHidden/>
    <w:unhideWhenUsed/>
    <w:rsid w:val="00A26C2E"/>
    <w:rPr>
      <w:color w:val="0000FF"/>
      <w:u w:val="single"/>
    </w:rPr>
  </w:style>
  <w:style w:type="paragraph" w:styleId="Akapitzlist">
    <w:name w:val="List Paragraph"/>
    <w:basedOn w:val="Normalny"/>
    <w:uiPriority w:val="34"/>
    <w:qFormat/>
    <w:rsid w:val="00A26C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646923">
      <w:bodyDiv w:val="1"/>
      <w:marLeft w:val="0"/>
      <w:marRight w:val="0"/>
      <w:marTop w:val="0"/>
      <w:marBottom w:val="0"/>
      <w:divBdr>
        <w:top w:val="none" w:sz="0" w:space="0" w:color="auto"/>
        <w:left w:val="none" w:sz="0" w:space="0" w:color="auto"/>
        <w:bottom w:val="none" w:sz="0" w:space="0" w:color="auto"/>
        <w:right w:val="none" w:sz="0" w:space="0" w:color="auto"/>
      </w:divBdr>
    </w:div>
    <w:div w:id="76785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lugloadsolutions.com/80pluspowersupplies.aspx"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1869</Words>
  <Characters>10655</Characters>
  <Application>Microsoft Office Word</Application>
  <DocSecurity>0</DocSecurity>
  <Lines>88</Lines>
  <Paragraphs>24</Paragraphs>
  <ScaleCrop>false</ScaleCrop>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Łuczkowiak</dc:creator>
  <cp:keywords/>
  <dc:description/>
  <cp:lastModifiedBy>Jakub Łuczkowiak</cp:lastModifiedBy>
  <cp:revision>3</cp:revision>
  <dcterms:created xsi:type="dcterms:W3CDTF">2024-02-02T10:32:00Z</dcterms:created>
  <dcterms:modified xsi:type="dcterms:W3CDTF">2024-02-02T11:27:00Z</dcterms:modified>
</cp:coreProperties>
</file>